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4F62D">
      <w:pPr>
        <w:ind w:firstLine="0" w:firstLineChars="0"/>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附件1：</w:t>
      </w:r>
    </w:p>
    <w:p w14:paraId="1E5F2B5C">
      <w:pPr>
        <w:ind w:firstLine="0" w:firstLineChars="0"/>
        <w:jc w:val="center"/>
        <w:rPr>
          <w:rFonts w:hint="eastAsia" w:ascii="宋体" w:hAnsi="宋体" w:cs="宋体"/>
          <w:b/>
          <w:bCs/>
          <w:color w:val="000000" w:themeColor="text1"/>
          <w:sz w:val="30"/>
          <w:szCs w:val="30"/>
          <w14:textFill>
            <w14:solidFill>
              <w14:schemeClr w14:val="tx1"/>
            </w14:solidFill>
          </w14:textFill>
        </w:rPr>
      </w:pPr>
      <w:r>
        <w:rPr>
          <w:rFonts w:hint="eastAsia" w:ascii="宋体" w:hAnsi="宋体" w:cs="宋体"/>
          <w:b/>
          <w:bCs/>
          <w:color w:val="000000" w:themeColor="text1"/>
          <w:sz w:val="30"/>
          <w:szCs w:val="30"/>
          <w14:textFill>
            <w14:solidFill>
              <w14:schemeClr w14:val="tx1"/>
            </w14:solidFill>
          </w14:textFill>
        </w:rPr>
        <w:t>202</w:t>
      </w:r>
      <w:r>
        <w:rPr>
          <w:rFonts w:hint="eastAsia" w:ascii="宋体" w:hAnsi="宋体" w:cs="宋体"/>
          <w:b/>
          <w:bCs/>
          <w:color w:val="000000" w:themeColor="text1"/>
          <w:sz w:val="30"/>
          <w:szCs w:val="30"/>
          <w:lang w:val="en-US" w:eastAsia="zh-CN"/>
          <w14:textFill>
            <w14:solidFill>
              <w14:schemeClr w14:val="tx1"/>
            </w14:solidFill>
          </w14:textFill>
        </w:rPr>
        <w:t>4</w:t>
      </w:r>
      <w:r>
        <w:rPr>
          <w:rFonts w:hint="eastAsia" w:ascii="宋体" w:hAnsi="宋体" w:cs="宋体"/>
          <w:b/>
          <w:bCs/>
          <w:color w:val="000000" w:themeColor="text1"/>
          <w:sz w:val="30"/>
          <w:szCs w:val="30"/>
          <w14:textFill>
            <w14:solidFill>
              <w14:schemeClr w14:val="tx1"/>
            </w14:solidFill>
          </w14:textFill>
        </w:rPr>
        <w:t>年立项各类校级科研项目清单</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2" w:type="dxa"/>
          <w:left w:w="64" w:type="dxa"/>
          <w:bottom w:w="32" w:type="dxa"/>
          <w:right w:w="64" w:type="dxa"/>
        </w:tblCellMar>
      </w:tblPr>
      <w:tblGrid>
        <w:gridCol w:w="668"/>
        <w:gridCol w:w="1301"/>
        <w:gridCol w:w="5084"/>
        <w:gridCol w:w="1469"/>
      </w:tblGrid>
      <w:tr w14:paraId="6B619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674" w:hRule="atLeast"/>
          <w:tblHeader/>
          <w:jc w:val="center"/>
        </w:trPr>
        <w:tc>
          <w:tcPr>
            <w:tcW w:w="668" w:type="dxa"/>
            <w:shd w:val="clear" w:color="auto" w:fill="auto"/>
            <w:vAlign w:val="center"/>
          </w:tcPr>
          <w:p w14:paraId="3CAEAD6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eastAsia="宋体"/>
                <w:b/>
                <w:bCs/>
                <w:sz w:val="21"/>
                <w:szCs w:val="21"/>
                <w:lang w:eastAsia="zh-CN"/>
              </w:rPr>
            </w:pPr>
            <w:r>
              <w:rPr>
                <w:rFonts w:hint="eastAsia"/>
                <w:b/>
                <w:bCs/>
                <w:sz w:val="21"/>
                <w:szCs w:val="21"/>
                <w:lang w:eastAsia="zh-CN"/>
              </w:rPr>
              <w:t>序号</w:t>
            </w:r>
          </w:p>
        </w:tc>
        <w:tc>
          <w:tcPr>
            <w:tcW w:w="1301" w:type="dxa"/>
            <w:shd w:val="clear" w:color="auto" w:fill="auto"/>
            <w:vAlign w:val="center"/>
          </w:tcPr>
          <w:p w14:paraId="36019A3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eastAsia="宋体"/>
                <w:b/>
                <w:bCs/>
                <w:sz w:val="21"/>
                <w:szCs w:val="21"/>
                <w:lang w:eastAsia="zh-CN"/>
              </w:rPr>
            </w:pPr>
            <w:r>
              <w:rPr>
                <w:rFonts w:hint="eastAsia"/>
                <w:b/>
                <w:bCs/>
                <w:sz w:val="21"/>
                <w:szCs w:val="21"/>
                <w:lang w:eastAsia="zh-CN"/>
              </w:rPr>
              <w:t>项目负责人</w:t>
            </w:r>
          </w:p>
        </w:tc>
        <w:tc>
          <w:tcPr>
            <w:tcW w:w="5084" w:type="dxa"/>
            <w:shd w:val="clear" w:color="auto" w:fill="auto"/>
            <w:vAlign w:val="center"/>
          </w:tcPr>
          <w:p w14:paraId="0408227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b/>
                <w:bCs/>
                <w:sz w:val="21"/>
                <w:szCs w:val="21"/>
                <w:lang w:eastAsia="zh-CN"/>
              </w:rPr>
            </w:pPr>
            <w:r>
              <w:rPr>
                <w:rFonts w:hint="eastAsia"/>
                <w:b/>
                <w:bCs/>
                <w:sz w:val="21"/>
                <w:szCs w:val="21"/>
                <w:lang w:eastAsia="zh-CN"/>
              </w:rPr>
              <w:t>项目名称</w:t>
            </w:r>
          </w:p>
        </w:tc>
        <w:tc>
          <w:tcPr>
            <w:tcW w:w="1469" w:type="dxa"/>
            <w:shd w:val="clear" w:color="auto" w:fill="auto"/>
            <w:vAlign w:val="center"/>
          </w:tcPr>
          <w:p w14:paraId="7F8AA21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b/>
                <w:bCs/>
                <w:sz w:val="21"/>
                <w:szCs w:val="21"/>
                <w:lang w:eastAsia="zh-CN"/>
              </w:rPr>
            </w:pPr>
            <w:r>
              <w:rPr>
                <w:rFonts w:hint="eastAsia"/>
                <w:b/>
                <w:bCs/>
                <w:sz w:val="21"/>
                <w:szCs w:val="21"/>
                <w:lang w:eastAsia="zh-CN"/>
              </w:rPr>
              <w:t>项目类别</w:t>
            </w:r>
          </w:p>
        </w:tc>
      </w:tr>
      <w:tr w14:paraId="19210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0B273B4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1</w:t>
            </w:r>
          </w:p>
        </w:tc>
        <w:tc>
          <w:tcPr>
            <w:tcW w:w="1301" w:type="dxa"/>
            <w:shd w:val="clear" w:color="auto" w:fill="auto"/>
            <w:vAlign w:val="center"/>
          </w:tcPr>
          <w:p w14:paraId="50896B0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许龙</w:t>
            </w:r>
          </w:p>
        </w:tc>
        <w:tc>
          <w:tcPr>
            <w:tcW w:w="5084" w:type="dxa"/>
            <w:shd w:val="clear" w:color="auto" w:fill="auto"/>
            <w:vAlign w:val="center"/>
          </w:tcPr>
          <w:p w14:paraId="5B282F6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“双碳”背景下新型可再生能源系统规划设计研究</w:t>
            </w:r>
          </w:p>
        </w:tc>
        <w:tc>
          <w:tcPr>
            <w:tcW w:w="1469" w:type="dxa"/>
            <w:shd w:val="clear" w:color="auto" w:fill="auto"/>
            <w:vAlign w:val="center"/>
          </w:tcPr>
          <w:p w14:paraId="0DB55B1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科技类青年项目</w:t>
            </w:r>
          </w:p>
        </w:tc>
      </w:tr>
      <w:tr w14:paraId="6432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211F50B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2</w:t>
            </w:r>
          </w:p>
        </w:tc>
        <w:tc>
          <w:tcPr>
            <w:tcW w:w="1301" w:type="dxa"/>
            <w:shd w:val="clear" w:color="auto" w:fill="auto"/>
            <w:vAlign w:val="center"/>
          </w:tcPr>
          <w:p w14:paraId="4E2EA54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陆铁文</w:t>
            </w:r>
          </w:p>
        </w:tc>
        <w:tc>
          <w:tcPr>
            <w:tcW w:w="5084" w:type="dxa"/>
            <w:shd w:val="clear" w:color="auto" w:fill="auto"/>
            <w:vAlign w:val="center"/>
          </w:tcPr>
          <w:p w14:paraId="61C5D0F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基于轻量神经网络的城市环境声识别技术研究</w:t>
            </w:r>
          </w:p>
        </w:tc>
        <w:tc>
          <w:tcPr>
            <w:tcW w:w="1469" w:type="dxa"/>
            <w:shd w:val="clear" w:color="auto" w:fill="auto"/>
            <w:vAlign w:val="center"/>
          </w:tcPr>
          <w:p w14:paraId="7875EFB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科技类青年项目</w:t>
            </w:r>
          </w:p>
        </w:tc>
      </w:tr>
      <w:tr w14:paraId="3F3F7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1B3C609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3</w:t>
            </w:r>
          </w:p>
        </w:tc>
        <w:tc>
          <w:tcPr>
            <w:tcW w:w="1301" w:type="dxa"/>
            <w:shd w:val="clear" w:color="auto" w:fill="auto"/>
            <w:vAlign w:val="center"/>
          </w:tcPr>
          <w:p w14:paraId="1D186F8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赵瑞晓</w:t>
            </w:r>
          </w:p>
        </w:tc>
        <w:tc>
          <w:tcPr>
            <w:tcW w:w="5084" w:type="dxa"/>
            <w:shd w:val="clear" w:color="auto" w:fill="auto"/>
            <w:vAlign w:val="center"/>
          </w:tcPr>
          <w:p w14:paraId="3C273F2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基于变分模态分解与特征相关分析的短期负荷预测研究</w:t>
            </w:r>
          </w:p>
        </w:tc>
        <w:tc>
          <w:tcPr>
            <w:tcW w:w="1469" w:type="dxa"/>
            <w:shd w:val="clear" w:color="auto" w:fill="auto"/>
            <w:vAlign w:val="center"/>
          </w:tcPr>
          <w:p w14:paraId="7C0D3E0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科技类青年项目</w:t>
            </w:r>
          </w:p>
        </w:tc>
      </w:tr>
      <w:tr w14:paraId="640B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4696B37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4</w:t>
            </w:r>
          </w:p>
        </w:tc>
        <w:tc>
          <w:tcPr>
            <w:tcW w:w="1301" w:type="dxa"/>
            <w:shd w:val="clear" w:color="auto" w:fill="auto"/>
            <w:vAlign w:val="center"/>
          </w:tcPr>
          <w:p w14:paraId="4310052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高初景</w:t>
            </w:r>
          </w:p>
        </w:tc>
        <w:tc>
          <w:tcPr>
            <w:tcW w:w="5084" w:type="dxa"/>
            <w:shd w:val="clear" w:color="auto" w:fill="auto"/>
            <w:vAlign w:val="center"/>
          </w:tcPr>
          <w:p w14:paraId="2711718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数字化赋能制造企业绿色转型的机理与对策研究</w:t>
            </w:r>
          </w:p>
        </w:tc>
        <w:tc>
          <w:tcPr>
            <w:tcW w:w="1469" w:type="dxa"/>
            <w:shd w:val="clear" w:color="auto" w:fill="auto"/>
            <w:vAlign w:val="center"/>
          </w:tcPr>
          <w:p w14:paraId="65E4E94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65F4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7940DFC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5</w:t>
            </w:r>
          </w:p>
        </w:tc>
        <w:tc>
          <w:tcPr>
            <w:tcW w:w="1301" w:type="dxa"/>
            <w:shd w:val="clear" w:color="auto" w:fill="auto"/>
            <w:vAlign w:val="center"/>
          </w:tcPr>
          <w:p w14:paraId="45A32DC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孙瑞</w:t>
            </w:r>
          </w:p>
        </w:tc>
        <w:tc>
          <w:tcPr>
            <w:tcW w:w="5084" w:type="dxa"/>
            <w:shd w:val="clear" w:color="auto" w:fill="auto"/>
            <w:vAlign w:val="center"/>
          </w:tcPr>
          <w:p w14:paraId="381598A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“五育并举”视域下红色影视的美育功能研究</w:t>
            </w:r>
          </w:p>
        </w:tc>
        <w:tc>
          <w:tcPr>
            <w:tcW w:w="1469" w:type="dxa"/>
            <w:shd w:val="clear" w:color="auto" w:fill="auto"/>
            <w:vAlign w:val="center"/>
          </w:tcPr>
          <w:p w14:paraId="7E5CCBF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4069C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24DBD78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6</w:t>
            </w:r>
          </w:p>
        </w:tc>
        <w:tc>
          <w:tcPr>
            <w:tcW w:w="1301" w:type="dxa"/>
            <w:shd w:val="clear" w:color="auto" w:fill="auto"/>
            <w:vAlign w:val="center"/>
          </w:tcPr>
          <w:p w14:paraId="5AD3E7A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吴梦</w:t>
            </w:r>
          </w:p>
        </w:tc>
        <w:tc>
          <w:tcPr>
            <w:tcW w:w="5084" w:type="dxa"/>
            <w:shd w:val="clear" w:color="auto" w:fill="auto"/>
            <w:vAlign w:val="center"/>
          </w:tcPr>
          <w:p w14:paraId="0CF39AF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基于CORPS模型的高职院校投入产出效率评价研究</w:t>
            </w:r>
          </w:p>
        </w:tc>
        <w:tc>
          <w:tcPr>
            <w:tcW w:w="1469" w:type="dxa"/>
            <w:shd w:val="clear" w:color="auto" w:fill="auto"/>
            <w:vAlign w:val="center"/>
          </w:tcPr>
          <w:p w14:paraId="22A523D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7AF5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3FE1709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7</w:t>
            </w:r>
          </w:p>
        </w:tc>
        <w:tc>
          <w:tcPr>
            <w:tcW w:w="1301" w:type="dxa"/>
            <w:shd w:val="clear" w:color="auto" w:fill="auto"/>
            <w:vAlign w:val="center"/>
          </w:tcPr>
          <w:p w14:paraId="02019FC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张姣姣</w:t>
            </w:r>
          </w:p>
        </w:tc>
        <w:tc>
          <w:tcPr>
            <w:tcW w:w="5084" w:type="dxa"/>
            <w:shd w:val="clear" w:color="auto" w:fill="auto"/>
            <w:vAlign w:val="center"/>
          </w:tcPr>
          <w:p w14:paraId="49EED3E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高职院校学生网络偏差行为的心理预防与疏导机制研究</w:t>
            </w:r>
          </w:p>
        </w:tc>
        <w:tc>
          <w:tcPr>
            <w:tcW w:w="1469" w:type="dxa"/>
            <w:shd w:val="clear" w:color="auto" w:fill="auto"/>
            <w:vAlign w:val="center"/>
          </w:tcPr>
          <w:p w14:paraId="4C838A1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14A0B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0F754A0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8</w:t>
            </w:r>
          </w:p>
        </w:tc>
        <w:tc>
          <w:tcPr>
            <w:tcW w:w="1301" w:type="dxa"/>
            <w:shd w:val="clear" w:color="auto" w:fill="auto"/>
            <w:vAlign w:val="center"/>
          </w:tcPr>
          <w:p w14:paraId="66160F5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韩静宜</w:t>
            </w:r>
          </w:p>
        </w:tc>
        <w:tc>
          <w:tcPr>
            <w:tcW w:w="5084" w:type="dxa"/>
            <w:shd w:val="clear" w:color="auto" w:fill="auto"/>
            <w:vAlign w:val="center"/>
          </w:tcPr>
          <w:p w14:paraId="0DD8BFA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数字化赋能高职院校网络思想政治教育创新发展研究</w:t>
            </w:r>
          </w:p>
        </w:tc>
        <w:tc>
          <w:tcPr>
            <w:tcW w:w="1469" w:type="dxa"/>
            <w:shd w:val="clear" w:color="auto" w:fill="auto"/>
            <w:vAlign w:val="center"/>
          </w:tcPr>
          <w:p w14:paraId="70BF08B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4E55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33688C0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9</w:t>
            </w:r>
          </w:p>
        </w:tc>
        <w:tc>
          <w:tcPr>
            <w:tcW w:w="1301" w:type="dxa"/>
            <w:shd w:val="clear" w:color="auto" w:fill="auto"/>
            <w:vAlign w:val="center"/>
          </w:tcPr>
          <w:p w14:paraId="04166ED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周书娟</w:t>
            </w:r>
          </w:p>
        </w:tc>
        <w:tc>
          <w:tcPr>
            <w:tcW w:w="5084" w:type="dxa"/>
            <w:shd w:val="clear" w:color="auto" w:fill="auto"/>
            <w:vAlign w:val="center"/>
          </w:tcPr>
          <w:p w14:paraId="1097FDD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数字经济背景下网络直播带货行业税收征管问题的研究</w:t>
            </w:r>
          </w:p>
        </w:tc>
        <w:tc>
          <w:tcPr>
            <w:tcW w:w="1469" w:type="dxa"/>
            <w:shd w:val="clear" w:color="auto" w:fill="auto"/>
            <w:vAlign w:val="center"/>
          </w:tcPr>
          <w:p w14:paraId="34885FD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31EF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6E04D9D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10</w:t>
            </w:r>
          </w:p>
        </w:tc>
        <w:tc>
          <w:tcPr>
            <w:tcW w:w="1301" w:type="dxa"/>
            <w:shd w:val="clear" w:color="auto" w:fill="auto"/>
            <w:vAlign w:val="center"/>
          </w:tcPr>
          <w:p w14:paraId="15B7119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王越</w:t>
            </w:r>
          </w:p>
        </w:tc>
        <w:tc>
          <w:tcPr>
            <w:tcW w:w="5084" w:type="dxa"/>
            <w:shd w:val="clear" w:color="auto" w:fill="auto"/>
            <w:vAlign w:val="center"/>
          </w:tcPr>
          <w:p w14:paraId="5811A99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AIGC视角下淮安非遗文化在交互设计中的数字化传承与创新应用研究——以淮安传统手工技艺泥塑为例</w:t>
            </w:r>
          </w:p>
        </w:tc>
        <w:tc>
          <w:tcPr>
            <w:tcW w:w="1469" w:type="dxa"/>
            <w:shd w:val="clear" w:color="auto" w:fill="auto"/>
            <w:vAlign w:val="center"/>
          </w:tcPr>
          <w:p w14:paraId="1D4A268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14ABA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4BC6CB1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11</w:t>
            </w:r>
          </w:p>
        </w:tc>
        <w:tc>
          <w:tcPr>
            <w:tcW w:w="1301" w:type="dxa"/>
            <w:shd w:val="clear" w:color="auto" w:fill="auto"/>
            <w:vAlign w:val="center"/>
          </w:tcPr>
          <w:p w14:paraId="7B97260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高瑞凡</w:t>
            </w:r>
          </w:p>
        </w:tc>
        <w:tc>
          <w:tcPr>
            <w:tcW w:w="5084" w:type="dxa"/>
            <w:shd w:val="clear" w:color="auto" w:fill="auto"/>
            <w:vAlign w:val="center"/>
          </w:tcPr>
          <w:p w14:paraId="29767D8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面向国家战略需求的财会专业调整机制和人才培养模式研究</w:t>
            </w:r>
          </w:p>
        </w:tc>
        <w:tc>
          <w:tcPr>
            <w:tcW w:w="1469" w:type="dxa"/>
            <w:shd w:val="clear" w:color="auto" w:fill="auto"/>
            <w:vAlign w:val="center"/>
          </w:tcPr>
          <w:p w14:paraId="0FBCF56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427F6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30B3E88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12</w:t>
            </w:r>
          </w:p>
        </w:tc>
        <w:tc>
          <w:tcPr>
            <w:tcW w:w="1301" w:type="dxa"/>
            <w:shd w:val="clear" w:color="auto" w:fill="auto"/>
            <w:vAlign w:val="center"/>
          </w:tcPr>
          <w:p w14:paraId="51C264C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周博韬</w:t>
            </w:r>
          </w:p>
        </w:tc>
        <w:tc>
          <w:tcPr>
            <w:tcW w:w="5084" w:type="dxa"/>
            <w:shd w:val="clear" w:color="auto" w:fill="auto"/>
            <w:vAlign w:val="center"/>
          </w:tcPr>
          <w:p w14:paraId="52D1DFB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“五育并举”视域下高职院校学生干部队伍能力提升研究</w:t>
            </w:r>
          </w:p>
        </w:tc>
        <w:tc>
          <w:tcPr>
            <w:tcW w:w="1469" w:type="dxa"/>
            <w:shd w:val="clear" w:color="auto" w:fill="auto"/>
            <w:vAlign w:val="center"/>
          </w:tcPr>
          <w:p w14:paraId="4D9B360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6C13A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6F64CCB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13</w:t>
            </w:r>
          </w:p>
        </w:tc>
        <w:tc>
          <w:tcPr>
            <w:tcW w:w="1301" w:type="dxa"/>
            <w:shd w:val="clear" w:color="auto" w:fill="auto"/>
            <w:vAlign w:val="center"/>
          </w:tcPr>
          <w:p w14:paraId="031AB05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邹帅</w:t>
            </w:r>
          </w:p>
        </w:tc>
        <w:tc>
          <w:tcPr>
            <w:tcW w:w="5084" w:type="dxa"/>
            <w:shd w:val="clear" w:color="auto" w:fill="auto"/>
            <w:vAlign w:val="center"/>
          </w:tcPr>
          <w:p w14:paraId="49F37F1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基于冰山模型的高铁服务专业学生职业素质提升路径研究</w:t>
            </w:r>
          </w:p>
        </w:tc>
        <w:tc>
          <w:tcPr>
            <w:tcW w:w="1469" w:type="dxa"/>
            <w:shd w:val="clear" w:color="auto" w:fill="auto"/>
            <w:vAlign w:val="center"/>
          </w:tcPr>
          <w:p w14:paraId="08EE755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500D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12A0FF4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14</w:t>
            </w:r>
          </w:p>
        </w:tc>
        <w:tc>
          <w:tcPr>
            <w:tcW w:w="1301" w:type="dxa"/>
            <w:shd w:val="clear" w:color="auto" w:fill="auto"/>
            <w:vAlign w:val="center"/>
          </w:tcPr>
          <w:p w14:paraId="2D88526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杨亚慧</w:t>
            </w:r>
          </w:p>
        </w:tc>
        <w:tc>
          <w:tcPr>
            <w:tcW w:w="5084" w:type="dxa"/>
            <w:shd w:val="clear" w:color="auto" w:fill="auto"/>
            <w:vAlign w:val="center"/>
          </w:tcPr>
          <w:p w14:paraId="79623A8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家校共育视角下的学生心理问题及应对策略</w:t>
            </w:r>
          </w:p>
        </w:tc>
        <w:tc>
          <w:tcPr>
            <w:tcW w:w="1469" w:type="dxa"/>
            <w:shd w:val="clear" w:color="auto" w:fill="auto"/>
            <w:vAlign w:val="center"/>
          </w:tcPr>
          <w:p w14:paraId="40C42D4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6FA7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2E12F7D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15</w:t>
            </w:r>
          </w:p>
        </w:tc>
        <w:tc>
          <w:tcPr>
            <w:tcW w:w="1301" w:type="dxa"/>
            <w:shd w:val="clear" w:color="auto" w:fill="auto"/>
            <w:vAlign w:val="center"/>
          </w:tcPr>
          <w:p w14:paraId="55FFE09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张松</w:t>
            </w:r>
          </w:p>
        </w:tc>
        <w:tc>
          <w:tcPr>
            <w:tcW w:w="5084" w:type="dxa"/>
            <w:shd w:val="clear" w:color="auto" w:fill="auto"/>
            <w:vAlign w:val="center"/>
          </w:tcPr>
          <w:p w14:paraId="0E647AB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艺术疗愈融入高校社区志愿服务实践探究</w:t>
            </w:r>
          </w:p>
        </w:tc>
        <w:tc>
          <w:tcPr>
            <w:tcW w:w="1469" w:type="dxa"/>
            <w:shd w:val="clear" w:color="auto" w:fill="auto"/>
            <w:vAlign w:val="center"/>
          </w:tcPr>
          <w:p w14:paraId="20D31E8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76A48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5798766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16</w:t>
            </w:r>
          </w:p>
        </w:tc>
        <w:tc>
          <w:tcPr>
            <w:tcW w:w="1301" w:type="dxa"/>
            <w:shd w:val="clear" w:color="auto" w:fill="auto"/>
            <w:vAlign w:val="center"/>
          </w:tcPr>
          <w:p w14:paraId="1E007AC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杨舟</w:t>
            </w:r>
          </w:p>
        </w:tc>
        <w:tc>
          <w:tcPr>
            <w:tcW w:w="5084" w:type="dxa"/>
            <w:shd w:val="clear" w:color="auto" w:fill="auto"/>
            <w:vAlign w:val="center"/>
          </w:tcPr>
          <w:p w14:paraId="5E9182E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金融错配对淮安产业绿色转型影响的实证研究</w:t>
            </w:r>
          </w:p>
        </w:tc>
        <w:tc>
          <w:tcPr>
            <w:tcW w:w="1469" w:type="dxa"/>
            <w:shd w:val="clear" w:color="auto" w:fill="auto"/>
            <w:vAlign w:val="center"/>
          </w:tcPr>
          <w:p w14:paraId="011F79C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00B6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724FDA2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17</w:t>
            </w:r>
          </w:p>
        </w:tc>
        <w:tc>
          <w:tcPr>
            <w:tcW w:w="1301" w:type="dxa"/>
            <w:shd w:val="clear" w:color="auto" w:fill="auto"/>
            <w:vAlign w:val="center"/>
          </w:tcPr>
          <w:p w14:paraId="4569CB1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周慧</w:t>
            </w:r>
          </w:p>
        </w:tc>
        <w:tc>
          <w:tcPr>
            <w:tcW w:w="5084" w:type="dxa"/>
            <w:shd w:val="clear" w:color="auto" w:fill="auto"/>
            <w:vAlign w:val="center"/>
          </w:tcPr>
          <w:p w14:paraId="35C23A4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数字媒体技术视域下淮安数字文化产业发展研究</w:t>
            </w:r>
          </w:p>
        </w:tc>
        <w:tc>
          <w:tcPr>
            <w:tcW w:w="1469" w:type="dxa"/>
            <w:shd w:val="clear" w:color="auto" w:fill="auto"/>
            <w:vAlign w:val="center"/>
          </w:tcPr>
          <w:p w14:paraId="48FC708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503ED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423D31C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18</w:t>
            </w:r>
          </w:p>
        </w:tc>
        <w:tc>
          <w:tcPr>
            <w:tcW w:w="1301" w:type="dxa"/>
            <w:shd w:val="clear" w:color="auto" w:fill="auto"/>
            <w:vAlign w:val="center"/>
          </w:tcPr>
          <w:p w14:paraId="29C098F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郑联珠</w:t>
            </w:r>
          </w:p>
        </w:tc>
        <w:tc>
          <w:tcPr>
            <w:tcW w:w="5084" w:type="dxa"/>
            <w:shd w:val="clear" w:color="auto" w:fill="auto"/>
            <w:vAlign w:val="center"/>
          </w:tcPr>
          <w:p w14:paraId="236A991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满意度视角下高职院校来华留学生教育管理策略优化探析</w:t>
            </w:r>
          </w:p>
        </w:tc>
        <w:tc>
          <w:tcPr>
            <w:tcW w:w="1469" w:type="dxa"/>
            <w:shd w:val="clear" w:color="auto" w:fill="auto"/>
            <w:vAlign w:val="center"/>
          </w:tcPr>
          <w:p w14:paraId="416F806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1A5C8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13B2A2F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19</w:t>
            </w:r>
          </w:p>
        </w:tc>
        <w:tc>
          <w:tcPr>
            <w:tcW w:w="1301" w:type="dxa"/>
            <w:shd w:val="clear" w:color="auto" w:fill="auto"/>
            <w:vAlign w:val="center"/>
          </w:tcPr>
          <w:p w14:paraId="32C7628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李舒蕊</w:t>
            </w:r>
          </w:p>
        </w:tc>
        <w:tc>
          <w:tcPr>
            <w:tcW w:w="5084" w:type="dxa"/>
            <w:shd w:val="clear" w:color="auto" w:fill="auto"/>
            <w:vAlign w:val="center"/>
          </w:tcPr>
          <w:p w14:paraId="352CF2E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社交媒体时代高校网络思政分众化策略研究</w:t>
            </w:r>
          </w:p>
        </w:tc>
        <w:tc>
          <w:tcPr>
            <w:tcW w:w="1469" w:type="dxa"/>
            <w:shd w:val="clear" w:color="auto" w:fill="auto"/>
            <w:vAlign w:val="center"/>
          </w:tcPr>
          <w:p w14:paraId="3072601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社科类青年项目</w:t>
            </w:r>
          </w:p>
        </w:tc>
      </w:tr>
      <w:tr w14:paraId="3284B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1106A2B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20</w:t>
            </w:r>
          </w:p>
        </w:tc>
        <w:tc>
          <w:tcPr>
            <w:tcW w:w="1301" w:type="dxa"/>
            <w:shd w:val="clear" w:color="auto" w:fill="auto"/>
            <w:vAlign w:val="center"/>
          </w:tcPr>
          <w:p w14:paraId="6428843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马俊</w:t>
            </w:r>
          </w:p>
        </w:tc>
        <w:tc>
          <w:tcPr>
            <w:tcW w:w="5084" w:type="dxa"/>
            <w:shd w:val="clear" w:color="auto" w:fill="auto"/>
            <w:vAlign w:val="center"/>
          </w:tcPr>
          <w:p w14:paraId="6FBDB8B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丛枝菌根真菌对镉胁迫下番茄SlNRAMP基因调控机制的研究</w:t>
            </w:r>
          </w:p>
        </w:tc>
        <w:tc>
          <w:tcPr>
            <w:tcW w:w="1469" w:type="dxa"/>
            <w:shd w:val="clear" w:color="auto" w:fill="auto"/>
            <w:vAlign w:val="center"/>
          </w:tcPr>
          <w:p w14:paraId="2C116C6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科技类一般项目</w:t>
            </w:r>
          </w:p>
        </w:tc>
      </w:tr>
      <w:tr w14:paraId="19745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044245F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21</w:t>
            </w:r>
          </w:p>
        </w:tc>
        <w:tc>
          <w:tcPr>
            <w:tcW w:w="1301" w:type="dxa"/>
            <w:shd w:val="clear" w:color="auto" w:fill="auto"/>
            <w:vAlign w:val="center"/>
          </w:tcPr>
          <w:p w14:paraId="2DCD1EE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牛雁宁</w:t>
            </w:r>
          </w:p>
        </w:tc>
        <w:tc>
          <w:tcPr>
            <w:tcW w:w="5084" w:type="dxa"/>
            <w:shd w:val="clear" w:color="auto" w:fill="auto"/>
            <w:vAlign w:val="center"/>
          </w:tcPr>
          <w:p w14:paraId="75851C4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自由基环化反应合成二氢异喹啉酮的研究</w:t>
            </w:r>
          </w:p>
        </w:tc>
        <w:tc>
          <w:tcPr>
            <w:tcW w:w="1469" w:type="dxa"/>
            <w:shd w:val="clear" w:color="auto" w:fill="auto"/>
            <w:vAlign w:val="center"/>
          </w:tcPr>
          <w:p w14:paraId="51D0C22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科技类一般项目</w:t>
            </w:r>
          </w:p>
        </w:tc>
      </w:tr>
      <w:tr w14:paraId="124D1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1646923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22</w:t>
            </w:r>
          </w:p>
        </w:tc>
        <w:tc>
          <w:tcPr>
            <w:tcW w:w="1301" w:type="dxa"/>
            <w:shd w:val="clear" w:color="auto" w:fill="auto"/>
            <w:vAlign w:val="center"/>
          </w:tcPr>
          <w:p w14:paraId="6C57805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韩磊</w:t>
            </w:r>
          </w:p>
        </w:tc>
        <w:tc>
          <w:tcPr>
            <w:tcW w:w="5084" w:type="dxa"/>
            <w:shd w:val="clear" w:color="auto" w:fill="auto"/>
            <w:vAlign w:val="center"/>
          </w:tcPr>
          <w:p w14:paraId="635274A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基于大模型的校园智汇系统</w:t>
            </w:r>
          </w:p>
        </w:tc>
        <w:tc>
          <w:tcPr>
            <w:tcW w:w="1469" w:type="dxa"/>
            <w:shd w:val="clear" w:color="auto" w:fill="auto"/>
            <w:vAlign w:val="center"/>
          </w:tcPr>
          <w:p w14:paraId="073C1CB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科技类一般项目</w:t>
            </w:r>
          </w:p>
        </w:tc>
      </w:tr>
      <w:tr w14:paraId="62900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40ACBE7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23</w:t>
            </w:r>
          </w:p>
        </w:tc>
        <w:tc>
          <w:tcPr>
            <w:tcW w:w="1301" w:type="dxa"/>
            <w:shd w:val="clear" w:color="auto" w:fill="auto"/>
            <w:vAlign w:val="center"/>
          </w:tcPr>
          <w:p w14:paraId="14AA0D1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孟秋云</w:t>
            </w:r>
          </w:p>
        </w:tc>
        <w:tc>
          <w:tcPr>
            <w:tcW w:w="5084" w:type="dxa"/>
            <w:shd w:val="clear" w:color="auto" w:fill="auto"/>
            <w:vAlign w:val="center"/>
          </w:tcPr>
          <w:p w14:paraId="7F11B1F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基于卷积神经网络的超高频标签识别系统研究</w:t>
            </w:r>
          </w:p>
        </w:tc>
        <w:tc>
          <w:tcPr>
            <w:tcW w:w="1469" w:type="dxa"/>
            <w:shd w:val="clear" w:color="auto" w:fill="auto"/>
            <w:vAlign w:val="center"/>
          </w:tcPr>
          <w:p w14:paraId="240E550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科技类一般项目</w:t>
            </w:r>
          </w:p>
        </w:tc>
      </w:tr>
      <w:tr w14:paraId="78534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70674F8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24</w:t>
            </w:r>
          </w:p>
        </w:tc>
        <w:tc>
          <w:tcPr>
            <w:tcW w:w="1301" w:type="dxa"/>
            <w:shd w:val="clear" w:color="auto" w:fill="auto"/>
            <w:vAlign w:val="center"/>
          </w:tcPr>
          <w:p w14:paraId="4407AC5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桂亚</w:t>
            </w:r>
          </w:p>
        </w:tc>
        <w:tc>
          <w:tcPr>
            <w:tcW w:w="5084" w:type="dxa"/>
            <w:shd w:val="clear" w:color="auto" w:fill="auto"/>
            <w:vAlign w:val="center"/>
          </w:tcPr>
          <w:p w14:paraId="3209EFC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基于冰淇淋口感的酸奶产品研究</w:t>
            </w:r>
          </w:p>
        </w:tc>
        <w:tc>
          <w:tcPr>
            <w:tcW w:w="1469" w:type="dxa"/>
            <w:shd w:val="clear" w:color="auto" w:fill="auto"/>
            <w:vAlign w:val="center"/>
          </w:tcPr>
          <w:p w14:paraId="79012A2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科技类一般项目</w:t>
            </w:r>
          </w:p>
        </w:tc>
      </w:tr>
      <w:tr w14:paraId="1ABA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0C9B2A8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25</w:t>
            </w:r>
          </w:p>
        </w:tc>
        <w:tc>
          <w:tcPr>
            <w:tcW w:w="1301" w:type="dxa"/>
            <w:shd w:val="clear" w:color="auto" w:fill="auto"/>
            <w:vAlign w:val="center"/>
          </w:tcPr>
          <w:p w14:paraId="1B73A12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戴路</w:t>
            </w:r>
          </w:p>
        </w:tc>
        <w:tc>
          <w:tcPr>
            <w:tcW w:w="5084" w:type="dxa"/>
            <w:shd w:val="clear" w:color="auto" w:fill="auto"/>
            <w:vAlign w:val="center"/>
          </w:tcPr>
          <w:p w14:paraId="0025788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“双碳”背景下动力电池回收利用关键技术研究</w:t>
            </w:r>
          </w:p>
        </w:tc>
        <w:tc>
          <w:tcPr>
            <w:tcW w:w="1469" w:type="dxa"/>
            <w:shd w:val="clear" w:color="auto" w:fill="auto"/>
            <w:vAlign w:val="center"/>
          </w:tcPr>
          <w:p w14:paraId="6D7285A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科技类一般项目</w:t>
            </w:r>
          </w:p>
        </w:tc>
      </w:tr>
      <w:tr w14:paraId="2BD4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414FD98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26</w:t>
            </w:r>
          </w:p>
        </w:tc>
        <w:tc>
          <w:tcPr>
            <w:tcW w:w="1301" w:type="dxa"/>
            <w:shd w:val="clear" w:color="auto" w:fill="auto"/>
            <w:vAlign w:val="center"/>
          </w:tcPr>
          <w:p w14:paraId="3EB93E1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丁琳</w:t>
            </w:r>
          </w:p>
        </w:tc>
        <w:tc>
          <w:tcPr>
            <w:tcW w:w="5084" w:type="dxa"/>
            <w:shd w:val="clear" w:color="auto" w:fill="auto"/>
            <w:vAlign w:val="center"/>
          </w:tcPr>
          <w:p w14:paraId="5E9C7E5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智能家居图像隐私保护算法的研究与实现</w:t>
            </w:r>
          </w:p>
        </w:tc>
        <w:tc>
          <w:tcPr>
            <w:tcW w:w="1469" w:type="dxa"/>
            <w:shd w:val="clear" w:color="auto" w:fill="auto"/>
            <w:vAlign w:val="center"/>
          </w:tcPr>
          <w:p w14:paraId="5BFC301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科技类一般项目</w:t>
            </w:r>
          </w:p>
        </w:tc>
      </w:tr>
      <w:tr w14:paraId="5B455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0B01E58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27</w:t>
            </w:r>
          </w:p>
        </w:tc>
        <w:tc>
          <w:tcPr>
            <w:tcW w:w="1301" w:type="dxa"/>
            <w:shd w:val="clear" w:color="auto" w:fill="auto"/>
            <w:vAlign w:val="center"/>
          </w:tcPr>
          <w:p w14:paraId="5941BF7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顾华玉</w:t>
            </w:r>
          </w:p>
        </w:tc>
        <w:tc>
          <w:tcPr>
            <w:tcW w:w="5084" w:type="dxa"/>
            <w:shd w:val="clear" w:color="auto" w:fill="auto"/>
            <w:vAlign w:val="center"/>
          </w:tcPr>
          <w:p w14:paraId="0182B3B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数字普惠金融背景下金融科技助推江苏省经济高质量发展的路径研究</w:t>
            </w:r>
          </w:p>
        </w:tc>
        <w:tc>
          <w:tcPr>
            <w:tcW w:w="1469" w:type="dxa"/>
            <w:shd w:val="clear" w:color="auto" w:fill="auto"/>
            <w:vAlign w:val="center"/>
          </w:tcPr>
          <w:p w14:paraId="77CCA92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72BB3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12CBCC9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28</w:t>
            </w:r>
          </w:p>
        </w:tc>
        <w:tc>
          <w:tcPr>
            <w:tcW w:w="1301" w:type="dxa"/>
            <w:shd w:val="clear" w:color="auto" w:fill="auto"/>
            <w:vAlign w:val="center"/>
          </w:tcPr>
          <w:p w14:paraId="5328AFD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黄猛</w:t>
            </w:r>
          </w:p>
        </w:tc>
        <w:tc>
          <w:tcPr>
            <w:tcW w:w="5084" w:type="dxa"/>
            <w:shd w:val="clear" w:color="auto" w:fill="auto"/>
            <w:vAlign w:val="center"/>
          </w:tcPr>
          <w:p w14:paraId="1A6A4F5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淮安内河航运中心建设路径研究</w:t>
            </w:r>
          </w:p>
        </w:tc>
        <w:tc>
          <w:tcPr>
            <w:tcW w:w="1469" w:type="dxa"/>
            <w:shd w:val="clear" w:color="auto" w:fill="auto"/>
            <w:vAlign w:val="center"/>
          </w:tcPr>
          <w:p w14:paraId="4FF7BD5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1E42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347467B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29</w:t>
            </w:r>
          </w:p>
        </w:tc>
        <w:tc>
          <w:tcPr>
            <w:tcW w:w="1301" w:type="dxa"/>
            <w:shd w:val="clear" w:color="auto" w:fill="auto"/>
            <w:vAlign w:val="center"/>
          </w:tcPr>
          <w:p w14:paraId="5FA2FE3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张媛媛</w:t>
            </w:r>
          </w:p>
        </w:tc>
        <w:tc>
          <w:tcPr>
            <w:tcW w:w="5084" w:type="dxa"/>
            <w:shd w:val="clear" w:color="auto" w:fill="auto"/>
            <w:vAlign w:val="center"/>
          </w:tcPr>
          <w:p w14:paraId="0D01E96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高职院校教师实践性知识管理研究</w:t>
            </w:r>
          </w:p>
        </w:tc>
        <w:tc>
          <w:tcPr>
            <w:tcW w:w="1469" w:type="dxa"/>
            <w:shd w:val="clear" w:color="auto" w:fill="auto"/>
            <w:vAlign w:val="center"/>
          </w:tcPr>
          <w:p w14:paraId="760B347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5F521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2D9F0A0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30</w:t>
            </w:r>
          </w:p>
        </w:tc>
        <w:tc>
          <w:tcPr>
            <w:tcW w:w="1301" w:type="dxa"/>
            <w:shd w:val="clear" w:color="auto" w:fill="auto"/>
            <w:vAlign w:val="center"/>
          </w:tcPr>
          <w:p w14:paraId="5E772DD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韩洋</w:t>
            </w:r>
          </w:p>
        </w:tc>
        <w:tc>
          <w:tcPr>
            <w:tcW w:w="5084" w:type="dxa"/>
            <w:shd w:val="clear" w:color="auto" w:fill="auto"/>
            <w:vAlign w:val="center"/>
          </w:tcPr>
          <w:p w14:paraId="24C4C55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“双碳”背景下建筑业碳排放协同治理影响因素及对策研究</w:t>
            </w:r>
          </w:p>
        </w:tc>
        <w:tc>
          <w:tcPr>
            <w:tcW w:w="1469" w:type="dxa"/>
            <w:shd w:val="clear" w:color="auto" w:fill="auto"/>
            <w:vAlign w:val="center"/>
          </w:tcPr>
          <w:p w14:paraId="6B20E34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1E40F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7410620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31</w:t>
            </w:r>
          </w:p>
        </w:tc>
        <w:tc>
          <w:tcPr>
            <w:tcW w:w="1301" w:type="dxa"/>
            <w:shd w:val="clear" w:color="auto" w:fill="auto"/>
            <w:vAlign w:val="center"/>
          </w:tcPr>
          <w:p w14:paraId="65F68C1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贾晓婷</w:t>
            </w:r>
          </w:p>
        </w:tc>
        <w:tc>
          <w:tcPr>
            <w:tcW w:w="5084" w:type="dxa"/>
            <w:shd w:val="clear" w:color="auto" w:fill="auto"/>
            <w:vAlign w:val="center"/>
          </w:tcPr>
          <w:p w14:paraId="1308422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“双高计划”背景下高职院校“双师型”教师队伍建设研究</w:t>
            </w:r>
          </w:p>
        </w:tc>
        <w:tc>
          <w:tcPr>
            <w:tcW w:w="1469" w:type="dxa"/>
            <w:shd w:val="clear" w:color="auto" w:fill="auto"/>
            <w:vAlign w:val="center"/>
          </w:tcPr>
          <w:p w14:paraId="4382E30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0A31D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73C2128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32</w:t>
            </w:r>
          </w:p>
        </w:tc>
        <w:tc>
          <w:tcPr>
            <w:tcW w:w="1301" w:type="dxa"/>
            <w:shd w:val="clear" w:color="auto" w:fill="auto"/>
            <w:vAlign w:val="center"/>
          </w:tcPr>
          <w:p w14:paraId="51E7A57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郝玲</w:t>
            </w:r>
          </w:p>
        </w:tc>
        <w:tc>
          <w:tcPr>
            <w:tcW w:w="5084" w:type="dxa"/>
            <w:shd w:val="clear" w:color="auto" w:fill="auto"/>
            <w:vAlign w:val="center"/>
          </w:tcPr>
          <w:p w14:paraId="67142FD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教育高质量发展视域下高职院校教师数字素养提升研究</w:t>
            </w:r>
          </w:p>
        </w:tc>
        <w:tc>
          <w:tcPr>
            <w:tcW w:w="1469" w:type="dxa"/>
            <w:shd w:val="clear" w:color="auto" w:fill="auto"/>
            <w:vAlign w:val="center"/>
          </w:tcPr>
          <w:p w14:paraId="21DC02A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598FF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72A8C2D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33</w:t>
            </w:r>
          </w:p>
        </w:tc>
        <w:tc>
          <w:tcPr>
            <w:tcW w:w="1301" w:type="dxa"/>
            <w:shd w:val="clear" w:color="auto" w:fill="auto"/>
            <w:vAlign w:val="center"/>
          </w:tcPr>
          <w:p w14:paraId="46FA7C6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孙翊</w:t>
            </w:r>
          </w:p>
        </w:tc>
        <w:tc>
          <w:tcPr>
            <w:tcW w:w="5084" w:type="dxa"/>
            <w:shd w:val="clear" w:color="auto" w:fill="auto"/>
            <w:vAlign w:val="center"/>
          </w:tcPr>
          <w:p w14:paraId="7BFD8D7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数字普惠金融对家庭财富差距的消弭效应研究</w:t>
            </w:r>
          </w:p>
        </w:tc>
        <w:tc>
          <w:tcPr>
            <w:tcW w:w="1469" w:type="dxa"/>
            <w:shd w:val="clear" w:color="auto" w:fill="auto"/>
            <w:vAlign w:val="center"/>
          </w:tcPr>
          <w:p w14:paraId="0E6B305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29518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12ECCE6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34</w:t>
            </w:r>
          </w:p>
        </w:tc>
        <w:tc>
          <w:tcPr>
            <w:tcW w:w="1301" w:type="dxa"/>
            <w:shd w:val="clear" w:color="auto" w:fill="auto"/>
            <w:vAlign w:val="center"/>
          </w:tcPr>
          <w:p w14:paraId="7A71BC9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欧阳莹</w:t>
            </w:r>
          </w:p>
        </w:tc>
        <w:tc>
          <w:tcPr>
            <w:tcW w:w="5084" w:type="dxa"/>
            <w:shd w:val="clear" w:color="auto" w:fill="auto"/>
            <w:vAlign w:val="center"/>
          </w:tcPr>
          <w:p w14:paraId="0EBD1C0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网络背景下高职生心理韧性的重塑——社会支持的中介作用研究</w:t>
            </w:r>
          </w:p>
        </w:tc>
        <w:tc>
          <w:tcPr>
            <w:tcW w:w="1469" w:type="dxa"/>
            <w:shd w:val="clear" w:color="auto" w:fill="auto"/>
            <w:vAlign w:val="center"/>
          </w:tcPr>
          <w:p w14:paraId="0B99E61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3112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451CDA7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35</w:t>
            </w:r>
          </w:p>
        </w:tc>
        <w:tc>
          <w:tcPr>
            <w:tcW w:w="1301" w:type="dxa"/>
            <w:shd w:val="clear" w:color="auto" w:fill="auto"/>
            <w:vAlign w:val="center"/>
          </w:tcPr>
          <w:p w14:paraId="1682A8E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沈妮</w:t>
            </w:r>
          </w:p>
        </w:tc>
        <w:tc>
          <w:tcPr>
            <w:tcW w:w="5084" w:type="dxa"/>
            <w:shd w:val="clear" w:color="auto" w:fill="auto"/>
            <w:vAlign w:val="center"/>
          </w:tcPr>
          <w:p w14:paraId="1E67391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“双高”建设背景下高职“双师型”英语教学团队的构建——基于专业学习共同体视角</w:t>
            </w:r>
          </w:p>
        </w:tc>
        <w:tc>
          <w:tcPr>
            <w:tcW w:w="1469" w:type="dxa"/>
            <w:shd w:val="clear" w:color="auto" w:fill="auto"/>
            <w:vAlign w:val="center"/>
          </w:tcPr>
          <w:p w14:paraId="15944C1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70E2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shd w:val="clear" w:color="auto" w:fill="auto"/>
            <w:vAlign w:val="center"/>
          </w:tcPr>
          <w:p w14:paraId="54118A0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rFonts w:hint="eastAsia"/>
                <w:sz w:val="21"/>
                <w:szCs w:val="21"/>
              </w:rPr>
              <w:t>36</w:t>
            </w:r>
          </w:p>
        </w:tc>
        <w:tc>
          <w:tcPr>
            <w:tcW w:w="1301" w:type="dxa"/>
            <w:shd w:val="clear" w:color="auto" w:fill="auto"/>
            <w:vAlign w:val="center"/>
          </w:tcPr>
          <w:p w14:paraId="606240F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杜沈悦</w:t>
            </w:r>
          </w:p>
        </w:tc>
        <w:tc>
          <w:tcPr>
            <w:tcW w:w="5084" w:type="dxa"/>
            <w:shd w:val="clear" w:color="auto" w:fill="auto"/>
            <w:vAlign w:val="center"/>
          </w:tcPr>
          <w:p w14:paraId="740BF34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大学生网络社交圈层化特点与引导策略研究</w:t>
            </w:r>
          </w:p>
        </w:tc>
        <w:tc>
          <w:tcPr>
            <w:tcW w:w="1469" w:type="dxa"/>
            <w:shd w:val="clear" w:color="auto" w:fill="auto"/>
            <w:vAlign w:val="center"/>
          </w:tcPr>
          <w:p w14:paraId="6C75720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1387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vAlign w:val="center"/>
          </w:tcPr>
          <w:p w14:paraId="3155C38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37</w:t>
            </w:r>
          </w:p>
        </w:tc>
        <w:tc>
          <w:tcPr>
            <w:tcW w:w="1301" w:type="dxa"/>
            <w:shd w:val="clear" w:color="auto" w:fill="auto"/>
            <w:vAlign w:val="center"/>
          </w:tcPr>
          <w:p w14:paraId="2F3C9E5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华雪纯</w:t>
            </w:r>
          </w:p>
        </w:tc>
        <w:tc>
          <w:tcPr>
            <w:tcW w:w="5084" w:type="dxa"/>
            <w:shd w:val="clear" w:color="auto" w:fill="auto"/>
            <w:vAlign w:val="center"/>
          </w:tcPr>
          <w:p w14:paraId="734B44F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淮安盱眙龙虾智慧冷链物流体系建设</w:t>
            </w:r>
          </w:p>
        </w:tc>
        <w:tc>
          <w:tcPr>
            <w:tcW w:w="1469" w:type="dxa"/>
            <w:shd w:val="clear" w:color="auto" w:fill="auto"/>
            <w:vAlign w:val="center"/>
          </w:tcPr>
          <w:p w14:paraId="278E7FD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657D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vAlign w:val="center"/>
          </w:tcPr>
          <w:p w14:paraId="5BB5A92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38</w:t>
            </w:r>
          </w:p>
        </w:tc>
        <w:tc>
          <w:tcPr>
            <w:tcW w:w="1301" w:type="dxa"/>
            <w:shd w:val="clear" w:color="auto" w:fill="auto"/>
            <w:vAlign w:val="center"/>
          </w:tcPr>
          <w:p w14:paraId="20FB34D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周华安</w:t>
            </w:r>
          </w:p>
        </w:tc>
        <w:tc>
          <w:tcPr>
            <w:tcW w:w="5084" w:type="dxa"/>
            <w:shd w:val="clear" w:color="auto" w:fill="auto"/>
            <w:vAlign w:val="center"/>
          </w:tcPr>
          <w:p w14:paraId="2954C8F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生成式人工智能赋能高职院校学生心理健康教育实践探索</w:t>
            </w:r>
          </w:p>
        </w:tc>
        <w:tc>
          <w:tcPr>
            <w:tcW w:w="1469" w:type="dxa"/>
            <w:shd w:val="clear" w:color="auto" w:fill="auto"/>
            <w:vAlign w:val="center"/>
          </w:tcPr>
          <w:p w14:paraId="6BE5E55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19797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vAlign w:val="center"/>
          </w:tcPr>
          <w:p w14:paraId="2F782F7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39</w:t>
            </w:r>
          </w:p>
        </w:tc>
        <w:tc>
          <w:tcPr>
            <w:tcW w:w="1301" w:type="dxa"/>
            <w:shd w:val="clear" w:color="auto" w:fill="auto"/>
            <w:vAlign w:val="center"/>
          </w:tcPr>
          <w:p w14:paraId="6247CF1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刘慧</w:t>
            </w:r>
          </w:p>
        </w:tc>
        <w:tc>
          <w:tcPr>
            <w:tcW w:w="5084" w:type="dxa"/>
            <w:shd w:val="clear" w:color="auto" w:fill="auto"/>
            <w:vAlign w:val="center"/>
          </w:tcPr>
          <w:p w14:paraId="23299C5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数字经济背景下农产品电商绿色物流发展对策研究</w:t>
            </w:r>
          </w:p>
        </w:tc>
        <w:tc>
          <w:tcPr>
            <w:tcW w:w="1469" w:type="dxa"/>
            <w:shd w:val="clear" w:color="auto" w:fill="auto"/>
            <w:vAlign w:val="center"/>
          </w:tcPr>
          <w:p w14:paraId="0684137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0218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vAlign w:val="center"/>
          </w:tcPr>
          <w:p w14:paraId="4513F21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40</w:t>
            </w:r>
          </w:p>
        </w:tc>
        <w:tc>
          <w:tcPr>
            <w:tcW w:w="1301" w:type="dxa"/>
            <w:shd w:val="clear" w:color="auto" w:fill="auto"/>
            <w:vAlign w:val="center"/>
          </w:tcPr>
          <w:p w14:paraId="6B9F2D4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吴洁</w:t>
            </w:r>
          </w:p>
        </w:tc>
        <w:tc>
          <w:tcPr>
            <w:tcW w:w="5084" w:type="dxa"/>
            <w:shd w:val="clear" w:color="auto" w:fill="auto"/>
            <w:vAlign w:val="center"/>
          </w:tcPr>
          <w:p w14:paraId="3A231F4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数字经济提升制造企业供应链韧性的机制与对策研究</w:t>
            </w:r>
          </w:p>
        </w:tc>
        <w:tc>
          <w:tcPr>
            <w:tcW w:w="1469" w:type="dxa"/>
            <w:shd w:val="clear" w:color="auto" w:fill="auto"/>
            <w:vAlign w:val="center"/>
          </w:tcPr>
          <w:p w14:paraId="65A8911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0B7A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vAlign w:val="center"/>
          </w:tcPr>
          <w:p w14:paraId="0CCFD72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41</w:t>
            </w:r>
          </w:p>
        </w:tc>
        <w:tc>
          <w:tcPr>
            <w:tcW w:w="1301" w:type="dxa"/>
            <w:shd w:val="clear" w:color="auto" w:fill="auto"/>
            <w:vAlign w:val="center"/>
          </w:tcPr>
          <w:p w14:paraId="6FB8B45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江娟</w:t>
            </w:r>
          </w:p>
        </w:tc>
        <w:tc>
          <w:tcPr>
            <w:tcW w:w="5084" w:type="dxa"/>
            <w:shd w:val="clear" w:color="auto" w:fill="auto"/>
            <w:vAlign w:val="center"/>
          </w:tcPr>
          <w:p w14:paraId="70CE569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双碳视角下城市绿色转型及实现路径研究</w:t>
            </w:r>
          </w:p>
        </w:tc>
        <w:tc>
          <w:tcPr>
            <w:tcW w:w="1469" w:type="dxa"/>
            <w:shd w:val="clear" w:color="auto" w:fill="auto"/>
            <w:vAlign w:val="center"/>
          </w:tcPr>
          <w:p w14:paraId="2DC83D8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335A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vAlign w:val="center"/>
          </w:tcPr>
          <w:p w14:paraId="1B6CE5F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42</w:t>
            </w:r>
          </w:p>
        </w:tc>
        <w:tc>
          <w:tcPr>
            <w:tcW w:w="1301" w:type="dxa"/>
            <w:shd w:val="clear" w:color="auto" w:fill="auto"/>
            <w:vAlign w:val="center"/>
          </w:tcPr>
          <w:p w14:paraId="774A0AB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王婷</w:t>
            </w:r>
          </w:p>
        </w:tc>
        <w:tc>
          <w:tcPr>
            <w:tcW w:w="5084" w:type="dxa"/>
            <w:shd w:val="clear" w:color="auto" w:fill="auto"/>
            <w:vAlign w:val="center"/>
          </w:tcPr>
          <w:p w14:paraId="10BBE77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长三角地区数字经济发展对企业慈善捐赠的影响研究</w:t>
            </w:r>
          </w:p>
        </w:tc>
        <w:tc>
          <w:tcPr>
            <w:tcW w:w="1469" w:type="dxa"/>
            <w:shd w:val="clear" w:color="auto" w:fill="auto"/>
            <w:vAlign w:val="center"/>
          </w:tcPr>
          <w:p w14:paraId="6CCACBD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社科类一般项目</w:t>
            </w:r>
          </w:p>
        </w:tc>
      </w:tr>
      <w:tr w14:paraId="75B77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vAlign w:val="center"/>
          </w:tcPr>
          <w:p w14:paraId="48ACB18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43</w:t>
            </w:r>
          </w:p>
        </w:tc>
        <w:tc>
          <w:tcPr>
            <w:tcW w:w="1301" w:type="dxa"/>
            <w:shd w:val="clear" w:color="auto" w:fill="auto"/>
            <w:vAlign w:val="center"/>
          </w:tcPr>
          <w:p w14:paraId="0D7B593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丁蓉蓉</w:t>
            </w:r>
          </w:p>
        </w:tc>
        <w:tc>
          <w:tcPr>
            <w:tcW w:w="5084" w:type="dxa"/>
            <w:shd w:val="clear" w:color="auto" w:fill="auto"/>
            <w:vAlign w:val="center"/>
          </w:tcPr>
          <w:p w14:paraId="10608E0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铸牢中华民族共同体意识的制度机制研究</w:t>
            </w:r>
          </w:p>
        </w:tc>
        <w:tc>
          <w:tcPr>
            <w:tcW w:w="1469" w:type="dxa"/>
            <w:shd w:val="clear" w:color="auto" w:fill="auto"/>
            <w:vAlign w:val="center"/>
          </w:tcPr>
          <w:p w14:paraId="04D8F3C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党的二十届三中全会专项</w:t>
            </w:r>
          </w:p>
        </w:tc>
      </w:tr>
      <w:tr w14:paraId="7D16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vAlign w:val="center"/>
          </w:tcPr>
          <w:p w14:paraId="33C267A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44</w:t>
            </w:r>
          </w:p>
        </w:tc>
        <w:tc>
          <w:tcPr>
            <w:tcW w:w="1301" w:type="dxa"/>
            <w:shd w:val="clear" w:color="auto" w:fill="auto"/>
            <w:vAlign w:val="center"/>
          </w:tcPr>
          <w:p w14:paraId="523FEF6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宋斌</w:t>
            </w:r>
          </w:p>
        </w:tc>
        <w:tc>
          <w:tcPr>
            <w:tcW w:w="5084" w:type="dxa"/>
            <w:shd w:val="clear" w:color="auto" w:fill="auto"/>
            <w:vAlign w:val="center"/>
          </w:tcPr>
          <w:p w14:paraId="3193132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社会工作融入基层社会治理的路径研究</w:t>
            </w:r>
          </w:p>
        </w:tc>
        <w:tc>
          <w:tcPr>
            <w:tcW w:w="1469" w:type="dxa"/>
            <w:shd w:val="clear" w:color="auto" w:fill="auto"/>
            <w:vAlign w:val="center"/>
          </w:tcPr>
          <w:p w14:paraId="5C39A0E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党的二十届三中全会专项</w:t>
            </w:r>
          </w:p>
        </w:tc>
      </w:tr>
      <w:tr w14:paraId="659F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562" w:hRule="atLeast"/>
          <w:jc w:val="center"/>
        </w:trPr>
        <w:tc>
          <w:tcPr>
            <w:tcW w:w="668" w:type="dxa"/>
            <w:vAlign w:val="center"/>
          </w:tcPr>
          <w:p w14:paraId="54F6CA3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45</w:t>
            </w:r>
          </w:p>
        </w:tc>
        <w:tc>
          <w:tcPr>
            <w:tcW w:w="1301" w:type="dxa"/>
            <w:shd w:val="clear" w:color="auto" w:fill="auto"/>
            <w:vAlign w:val="center"/>
          </w:tcPr>
          <w:p w14:paraId="5C2D8C7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翁业林</w:t>
            </w:r>
          </w:p>
        </w:tc>
        <w:tc>
          <w:tcPr>
            <w:tcW w:w="5084" w:type="dxa"/>
            <w:shd w:val="clear" w:color="auto" w:fill="auto"/>
            <w:vAlign w:val="center"/>
          </w:tcPr>
          <w:p w14:paraId="0AFE701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融媒体环境下高校统战文化建设实证研究</w:t>
            </w:r>
          </w:p>
        </w:tc>
        <w:tc>
          <w:tcPr>
            <w:tcW w:w="1469" w:type="dxa"/>
            <w:shd w:val="clear" w:color="auto" w:fill="auto"/>
            <w:vAlign w:val="center"/>
          </w:tcPr>
          <w:p w14:paraId="366F150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统战工作专项</w:t>
            </w:r>
          </w:p>
        </w:tc>
      </w:tr>
      <w:tr w14:paraId="14EF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vAlign w:val="center"/>
          </w:tcPr>
          <w:p w14:paraId="0E71BDB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46</w:t>
            </w:r>
          </w:p>
        </w:tc>
        <w:tc>
          <w:tcPr>
            <w:tcW w:w="1301" w:type="dxa"/>
            <w:shd w:val="clear" w:color="auto" w:fill="auto"/>
            <w:vAlign w:val="center"/>
          </w:tcPr>
          <w:p w14:paraId="5F8F930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任李</w:t>
            </w:r>
          </w:p>
        </w:tc>
        <w:tc>
          <w:tcPr>
            <w:tcW w:w="5084" w:type="dxa"/>
            <w:shd w:val="clear" w:color="auto" w:fill="auto"/>
            <w:vAlign w:val="center"/>
          </w:tcPr>
          <w:p w14:paraId="5209DE4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高校基层党组织统战工作实践探索与研究——“三共三融”助力二级学院党总支统战工作提质增效</w:t>
            </w:r>
          </w:p>
        </w:tc>
        <w:tc>
          <w:tcPr>
            <w:tcW w:w="1469" w:type="dxa"/>
            <w:shd w:val="clear" w:color="auto" w:fill="auto"/>
            <w:vAlign w:val="center"/>
          </w:tcPr>
          <w:p w14:paraId="0249D80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统战工作专项</w:t>
            </w:r>
          </w:p>
        </w:tc>
      </w:tr>
      <w:tr w14:paraId="7151E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761" w:hRule="atLeast"/>
          <w:jc w:val="center"/>
        </w:trPr>
        <w:tc>
          <w:tcPr>
            <w:tcW w:w="668" w:type="dxa"/>
            <w:vAlign w:val="center"/>
          </w:tcPr>
          <w:p w14:paraId="2D31984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47</w:t>
            </w:r>
          </w:p>
        </w:tc>
        <w:tc>
          <w:tcPr>
            <w:tcW w:w="1301" w:type="dxa"/>
            <w:shd w:val="clear" w:color="auto" w:fill="auto"/>
            <w:vAlign w:val="center"/>
          </w:tcPr>
          <w:p w14:paraId="19B561D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吴存兵</w:t>
            </w:r>
          </w:p>
        </w:tc>
        <w:tc>
          <w:tcPr>
            <w:tcW w:w="5084" w:type="dxa"/>
            <w:shd w:val="clear" w:color="auto" w:fill="auto"/>
            <w:vAlign w:val="center"/>
          </w:tcPr>
          <w:p w14:paraId="0B28E8A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新时代高职院校统战工作实践路径与创新方法研究</w:t>
            </w:r>
          </w:p>
        </w:tc>
        <w:tc>
          <w:tcPr>
            <w:tcW w:w="1469" w:type="dxa"/>
            <w:shd w:val="clear" w:color="auto" w:fill="auto"/>
            <w:vAlign w:val="center"/>
          </w:tcPr>
          <w:p w14:paraId="74A7C82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统战工作专项</w:t>
            </w:r>
          </w:p>
        </w:tc>
      </w:tr>
      <w:tr w14:paraId="5C029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vAlign w:val="center"/>
          </w:tcPr>
          <w:p w14:paraId="07F9946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48</w:t>
            </w:r>
          </w:p>
        </w:tc>
        <w:tc>
          <w:tcPr>
            <w:tcW w:w="1301" w:type="dxa"/>
            <w:shd w:val="clear" w:color="auto" w:fill="auto"/>
            <w:vAlign w:val="center"/>
          </w:tcPr>
          <w:p w14:paraId="1BCB551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朱梦圆</w:t>
            </w:r>
          </w:p>
        </w:tc>
        <w:tc>
          <w:tcPr>
            <w:tcW w:w="5084" w:type="dxa"/>
            <w:shd w:val="clear" w:color="auto" w:fill="auto"/>
            <w:vAlign w:val="center"/>
          </w:tcPr>
          <w:p w14:paraId="0B7BFB1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新时代高职院校铸牢中华民族共同体意识教育路径研究——以江苏财经职业技术学院为例</w:t>
            </w:r>
          </w:p>
        </w:tc>
        <w:tc>
          <w:tcPr>
            <w:tcW w:w="1469" w:type="dxa"/>
            <w:shd w:val="clear" w:color="auto" w:fill="auto"/>
            <w:vAlign w:val="center"/>
          </w:tcPr>
          <w:p w14:paraId="3742986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统战工作专项</w:t>
            </w:r>
          </w:p>
        </w:tc>
      </w:tr>
      <w:tr w14:paraId="4A71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668" w:type="dxa"/>
            <w:vAlign w:val="center"/>
          </w:tcPr>
          <w:p w14:paraId="7252F07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49</w:t>
            </w:r>
          </w:p>
        </w:tc>
        <w:tc>
          <w:tcPr>
            <w:tcW w:w="1301" w:type="dxa"/>
            <w:shd w:val="clear" w:color="auto" w:fill="auto"/>
            <w:vAlign w:val="center"/>
          </w:tcPr>
          <w:p w14:paraId="3BCF915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王杰</w:t>
            </w:r>
          </w:p>
        </w:tc>
        <w:tc>
          <w:tcPr>
            <w:tcW w:w="5084" w:type="dxa"/>
            <w:shd w:val="clear" w:color="auto" w:fill="auto"/>
            <w:vAlign w:val="center"/>
          </w:tcPr>
          <w:p w14:paraId="2C4C5ED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新时代高职院校统战工作与课程思政教育深度融合研究</w:t>
            </w:r>
          </w:p>
        </w:tc>
        <w:tc>
          <w:tcPr>
            <w:tcW w:w="1469" w:type="dxa"/>
            <w:shd w:val="clear" w:color="auto" w:fill="auto"/>
            <w:vAlign w:val="center"/>
          </w:tcPr>
          <w:p w14:paraId="7840F68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kern w:val="2"/>
                <w:sz w:val="21"/>
                <w:szCs w:val="21"/>
                <w:lang w:val="en-US" w:eastAsia="zh-CN" w:bidi="ar-SA"/>
              </w:rPr>
            </w:pPr>
            <w:r>
              <w:rPr>
                <w:rFonts w:hint="eastAsia"/>
                <w:sz w:val="21"/>
                <w:szCs w:val="21"/>
                <w:lang w:val="en-US" w:eastAsia="zh-CN"/>
              </w:rPr>
              <w:t>统战工作专项</w:t>
            </w:r>
          </w:p>
        </w:tc>
      </w:tr>
    </w:tbl>
    <w:p w14:paraId="1778CC93">
      <w:pPr>
        <w:ind w:firstLine="480"/>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1CCB6">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CACB2">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40ED4">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ACFD0">
    <w:pPr>
      <w:pStyle w:val="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80EBF">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56891">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4OTA0ZmFlNWUxMmIwYzA1NzI5ZWQ1YmQ4NmMzNDkifQ=="/>
  </w:docVars>
  <w:rsids>
    <w:rsidRoot w:val="00BC3A4D"/>
    <w:rsid w:val="001C5C3C"/>
    <w:rsid w:val="00311F8B"/>
    <w:rsid w:val="004A5D71"/>
    <w:rsid w:val="004C1603"/>
    <w:rsid w:val="00514F11"/>
    <w:rsid w:val="009E6B48"/>
    <w:rsid w:val="00BC3A4D"/>
    <w:rsid w:val="00E169D5"/>
    <w:rsid w:val="00E60621"/>
    <w:rsid w:val="00E8643C"/>
    <w:rsid w:val="0227311A"/>
    <w:rsid w:val="082F2D28"/>
    <w:rsid w:val="093C56FD"/>
    <w:rsid w:val="175E0F34"/>
    <w:rsid w:val="1A8707A2"/>
    <w:rsid w:val="29802F8C"/>
    <w:rsid w:val="2E7330BF"/>
    <w:rsid w:val="30D836AE"/>
    <w:rsid w:val="51080B75"/>
    <w:rsid w:val="51995BAC"/>
    <w:rsid w:val="6B5C25F8"/>
    <w:rsid w:val="76B33AC4"/>
    <w:rsid w:val="7B000E04"/>
    <w:rsid w:val="7E123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602" w:firstLineChars="200"/>
    </w:pPr>
    <w:rPr>
      <w:rFonts w:ascii="Times New Roman" w:hAnsi="Times New Roman" w:eastAsia="宋体" w:cs="Times New Roman"/>
      <w:kern w:val="2"/>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pPr>
      <w:spacing w:line="240" w:lineRule="auto"/>
    </w:pPr>
    <w:rPr>
      <w:sz w:val="18"/>
      <w:szCs w:val="18"/>
    </w:rPr>
  </w:style>
  <w:style w:type="paragraph" w:styleId="3">
    <w:name w:val="footer"/>
    <w:basedOn w:val="1"/>
    <w:link w:val="8"/>
    <w:unhideWhenUsed/>
    <w:qFormat/>
    <w:uiPriority w:val="0"/>
    <w:pPr>
      <w:tabs>
        <w:tab w:val="center" w:pos="4153"/>
        <w:tab w:val="right" w:pos="8306"/>
      </w:tabs>
      <w:adjustRightInd/>
      <w:spacing w:line="240" w:lineRule="auto"/>
      <w:ind w:firstLine="0" w:firstLineChars="0"/>
    </w:pPr>
    <w:rPr>
      <w:rFonts w:asciiTheme="minorHAnsi" w:hAnsiTheme="minorHAnsi" w:eastAsiaTheme="minorEastAsia" w:cstheme="minorBidi"/>
      <w:sz w:val="18"/>
      <w:szCs w:val="18"/>
    </w:rPr>
  </w:style>
  <w:style w:type="paragraph" w:styleId="4">
    <w:name w:val="header"/>
    <w:basedOn w:val="1"/>
    <w:link w:val="7"/>
    <w:unhideWhenUsed/>
    <w:qFormat/>
    <w:uiPriority w:val="0"/>
    <w:pPr>
      <w:pBdr>
        <w:bottom w:val="single" w:color="auto" w:sz="6" w:space="1"/>
      </w:pBdr>
      <w:tabs>
        <w:tab w:val="center" w:pos="4153"/>
        <w:tab w:val="right" w:pos="8306"/>
      </w:tabs>
      <w:adjustRightInd/>
      <w:spacing w:line="240" w:lineRule="auto"/>
      <w:ind w:firstLine="0" w:firstLineChars="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0"/>
    <w:rPr>
      <w:sz w:val="18"/>
      <w:szCs w:val="18"/>
    </w:rPr>
  </w:style>
  <w:style w:type="character" w:customStyle="1" w:styleId="8">
    <w:name w:val="页脚 字符"/>
    <w:basedOn w:val="6"/>
    <w:link w:val="3"/>
    <w:qFormat/>
    <w:uiPriority w:val="0"/>
    <w:rPr>
      <w:sz w:val="18"/>
      <w:szCs w:val="18"/>
    </w:rPr>
  </w:style>
  <w:style w:type="character" w:customStyle="1" w:styleId="9">
    <w:name w:val="批注框文本 字符"/>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1806</Words>
  <Characters>1868</Characters>
  <Lines>13</Lines>
  <Paragraphs>3</Paragraphs>
  <TotalTime>1</TotalTime>
  <ScaleCrop>false</ScaleCrop>
  <LinksUpToDate>false</LinksUpToDate>
  <CharactersWithSpaces>1868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2023-09-25T07:06:00Z</dcterms:created>
  <dc:creator>Administrator</dc:creator>
  <cp:lastModifiedBy>枫叶</cp:lastModifiedBy>
  <dcterms:modified xsi:type="dcterms:W3CDTF">2025-09-24T09:48:02Z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9F8984458E8A4C5FB74F62C1B6FA8148_13</vt:lpwstr>
  </property>
  <property fmtid="{D5CDD505-2E9C-101B-9397-08002B2CF9AE}" pid="4" name="KSOTemplateDocerSaveRecord">
    <vt:lpwstr>eyJoZGlkIjoiYWI3N2NjNWQ4M2U5MjhmNzM1NzMzMWZhNDg2ZGU5YTkiLCJ1c2VySWQiOiIyNTcyNjkxMDUifQ==</vt:lpwstr>
  </property>
</Properties>
</file>